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3933F" w14:textId="7116D40C" w:rsidR="00112883" w:rsidRPr="00FE18FB" w:rsidRDefault="004F58BC" w:rsidP="00FE18FB">
      <w:pPr>
        <w:spacing w:line="360" w:lineRule="auto"/>
        <w:rPr>
          <w:rStyle w:val="PageNumber"/>
          <w:b/>
        </w:rPr>
      </w:pPr>
      <w:r>
        <w:rPr>
          <w:rStyle w:val="PageNumber"/>
          <w:b/>
        </w:rPr>
        <w:t>Annex EU Cofinancing Agreement: Supplements to the General Terms and Conditions for Contracts with Appraisers/Firms of Consultants (local) (</w:t>
      </w:r>
      <w:r w:rsidR="0015235A">
        <w:rPr>
          <w:rStyle w:val="PageNumber"/>
          <w:b/>
        </w:rPr>
        <w:t>March 2025</w:t>
      </w:r>
      <w:r>
        <w:rPr>
          <w:rStyle w:val="PageNumber"/>
          <w:b/>
        </w:rPr>
        <w:t>)</w:t>
      </w:r>
    </w:p>
    <w:p w14:paraId="7DC48ECE" w14:textId="77777777" w:rsidR="00932EBC" w:rsidRDefault="00932EBC" w:rsidP="00FE18FB">
      <w:pPr>
        <w:spacing w:line="360" w:lineRule="auto"/>
        <w:rPr>
          <w:rStyle w:val="PageNumber"/>
        </w:rPr>
      </w:pPr>
    </w:p>
    <w:p w14:paraId="78A77A81" w14:textId="46FFCBFF" w:rsidR="00C64E1D" w:rsidRDefault="00C64E1D" w:rsidP="00FE18FB">
      <w:pPr>
        <w:spacing w:line="360" w:lineRule="auto"/>
        <w:rPr>
          <w:rStyle w:val="PageNumber"/>
        </w:rPr>
      </w:pPr>
      <w:r>
        <w:rPr>
          <w:rStyle w:val="PageNumber"/>
        </w:rPr>
        <w:t xml:space="preserve">The contract between GIZ and the contractor is based on a cofinancing agreement between GIZ and the European Commission. </w:t>
      </w:r>
    </w:p>
    <w:p w14:paraId="284E75E5" w14:textId="03C7C453" w:rsidR="00C74146" w:rsidRPr="00C35C8F" w:rsidRDefault="00C64E1D" w:rsidP="00D04745">
      <w:pPr>
        <w:spacing w:line="360" w:lineRule="auto"/>
        <w:rPr>
          <w:rStyle w:val="PageNumber"/>
        </w:rPr>
      </w:pPr>
      <w:r>
        <w:rPr>
          <w:rStyle w:val="PageNumber"/>
        </w:rPr>
        <w:t xml:space="preserve">Under the terms of this master agreement (Pillar Assessed Grant, Delegation or Contribution Agreement), GIZ is required to transfer </w:t>
      </w:r>
      <w:proofErr w:type="gramStart"/>
      <w:r>
        <w:rPr>
          <w:rStyle w:val="PageNumber"/>
        </w:rPr>
        <w:t>a number of</w:t>
      </w:r>
      <w:proofErr w:type="gramEnd"/>
      <w:r>
        <w:rPr>
          <w:rStyle w:val="PageNumber"/>
        </w:rPr>
        <w:t xml:space="preserve"> additional obligations to the contractor beyond those specified in GIZ’s Terms and Conditions; details of these additional obligations can be found in Annex II of the EU Cofinancing Agreement (hereinafter: General Conditions) at: </w:t>
      </w:r>
    </w:p>
    <w:p w14:paraId="7C33480F" w14:textId="16437180" w:rsidR="00C74146" w:rsidRDefault="0015235A" w:rsidP="00C74146">
      <w:pPr>
        <w:pStyle w:val="ListParagraph"/>
        <w:numPr>
          <w:ilvl w:val="0"/>
          <w:numId w:val="12"/>
        </w:numPr>
        <w:spacing w:line="360" w:lineRule="auto"/>
        <w:rPr>
          <w:color w:val="222222"/>
        </w:rPr>
      </w:pPr>
      <w:hyperlink r:id="rId8" w:history="1">
        <w:r w:rsidR="0015173D">
          <w:rPr>
            <w:rStyle w:val="Hyperlink"/>
          </w:rPr>
          <w:t>General Conditions for PA Grant or Delegation Agreements</w:t>
        </w:r>
      </w:hyperlink>
      <w:r w:rsidR="0015173D">
        <w:rPr>
          <w:color w:val="222222"/>
        </w:rPr>
        <w:t xml:space="preserve"> or </w:t>
      </w:r>
    </w:p>
    <w:p w14:paraId="5A206CEB" w14:textId="520ECAC0" w:rsidR="00C74146" w:rsidRDefault="0015235A" w:rsidP="00C74146">
      <w:pPr>
        <w:pStyle w:val="ListParagraph"/>
        <w:numPr>
          <w:ilvl w:val="0"/>
          <w:numId w:val="12"/>
        </w:numPr>
        <w:spacing w:line="360" w:lineRule="auto"/>
        <w:rPr>
          <w:color w:val="222222"/>
        </w:rPr>
      </w:pPr>
      <w:hyperlink r:id="rId9" w:history="1">
        <w:r w:rsidR="0007607A">
          <w:rPr>
            <w:rStyle w:val="Hyperlink"/>
          </w:rPr>
          <w:t>General Conditions for Contribution Agreements</w:t>
        </w:r>
      </w:hyperlink>
      <w:r w:rsidR="0007607A">
        <w:t>.</w:t>
      </w:r>
    </w:p>
    <w:p w14:paraId="33C46850" w14:textId="77777777" w:rsidR="00C74146" w:rsidRDefault="00C74146" w:rsidP="00C74146">
      <w:pPr>
        <w:pStyle w:val="ListParagraph"/>
        <w:spacing w:line="360" w:lineRule="auto"/>
        <w:rPr>
          <w:color w:val="222222"/>
          <w:lang w:val="en-US"/>
        </w:rPr>
      </w:pPr>
    </w:p>
    <w:p w14:paraId="174FD273" w14:textId="4803422B" w:rsidR="009B4500" w:rsidRDefault="006033EE" w:rsidP="009B4500">
      <w:pPr>
        <w:spacing w:line="360" w:lineRule="auto"/>
        <w:rPr>
          <w:color w:val="222222"/>
        </w:rPr>
      </w:pPr>
      <w:r>
        <w:rPr>
          <w:color w:val="222222"/>
        </w:rPr>
        <w:t xml:space="preserve">This results in the following supplements apply to the General Terms and Conditions for Contracts with Appraisers/Firms of Consultants (local): </w:t>
      </w:r>
    </w:p>
    <w:p w14:paraId="43FB0159" w14:textId="778A77A8" w:rsidR="002D1773" w:rsidRPr="00C35C8F" w:rsidRDefault="002D1773" w:rsidP="00FE18FB">
      <w:pPr>
        <w:spacing w:line="360" w:lineRule="auto"/>
        <w:rPr>
          <w:color w:val="222222"/>
        </w:rPr>
      </w:pPr>
    </w:p>
    <w:p w14:paraId="161D5DD2" w14:textId="5FA2569D" w:rsidR="00CD7C22" w:rsidRPr="00C35C8F" w:rsidRDefault="00CD7C22" w:rsidP="00FE18FB">
      <w:pPr>
        <w:spacing w:line="360" w:lineRule="auto"/>
        <w:rPr>
          <w:color w:val="222222"/>
          <w:u w:val="single"/>
        </w:rPr>
      </w:pPr>
      <w:r>
        <w:rPr>
          <w:color w:val="222222"/>
          <w:u w:val="single"/>
        </w:rPr>
        <w:t xml:space="preserve">Item 1.8 Use of </w:t>
      </w:r>
      <w:r w:rsidRPr="00C35C8F">
        <w:rPr>
          <w:color w:val="222222"/>
          <w:u w:val="single"/>
        </w:rPr>
        <w:t xml:space="preserve">GIZ’s </w:t>
      </w:r>
      <w:r>
        <w:rPr>
          <w:color w:val="222222"/>
          <w:u w:val="single"/>
        </w:rPr>
        <w:t>corporate design</w:t>
      </w:r>
    </w:p>
    <w:p w14:paraId="35B8127F" w14:textId="2AB62035" w:rsidR="00CD7C22" w:rsidRPr="008435FC" w:rsidRDefault="00CD7C22" w:rsidP="00CD7C22">
      <w:pPr>
        <w:spacing w:line="360" w:lineRule="auto"/>
        <w:rPr>
          <w:color w:val="222222"/>
        </w:rPr>
      </w:pPr>
      <w:r>
        <w:t xml:space="preserve">In addition to Item </w:t>
      </w:r>
      <w:r>
        <w:rPr>
          <w:color w:val="222222"/>
        </w:rPr>
        <w:t>1.8, the contractor must ensure that all publicity, communications and/or visibility measures comply with (</w:t>
      </w:r>
      <w:r>
        <w:rPr>
          <w:rStyle w:val="Hervorhebung3"/>
        </w:rPr>
        <w:t xml:space="preserve">please select: </w:t>
      </w:r>
      <w:r>
        <w:rPr>
          <w:color w:val="222222"/>
        </w:rPr>
        <w:t xml:space="preserve">Art. 8 of the </w:t>
      </w:r>
      <w:hyperlink r:id="rId10" w:history="1">
        <w:r>
          <w:rPr>
            <w:rStyle w:val="Hyperlink"/>
          </w:rPr>
          <w:t>General Conditions for PA Grant or Delegation Agreements</w:t>
        </w:r>
      </w:hyperlink>
      <w:r w:rsidR="00CF2CD2">
        <w:rPr>
          <w:rStyle w:val="Hyperlink"/>
        </w:rPr>
        <w:t xml:space="preserve"> </w:t>
      </w:r>
      <w:r w:rsidRPr="00CF2CD2">
        <w:rPr>
          <w:rStyle w:val="Hervorhebung3"/>
        </w:rPr>
        <w:t>OR</w:t>
      </w:r>
      <w:r>
        <w:rPr>
          <w:color w:val="222222"/>
        </w:rPr>
        <w:t xml:space="preserve"> Art.7 of the </w:t>
      </w:r>
      <w:hyperlink r:id="rId11" w:history="1">
        <w:r>
          <w:rPr>
            <w:rStyle w:val="Hyperlink"/>
          </w:rPr>
          <w:t>General Conditions for Contribution Agreements</w:t>
        </w:r>
      </w:hyperlink>
      <w:r>
        <w:rPr>
          <w:color w:val="222222"/>
        </w:rPr>
        <w:t xml:space="preserve">) as well as with the current version of </w:t>
      </w:r>
      <w:hyperlink r:id="rId12" w:history="1">
        <w:r>
          <w:rPr>
            <w:rStyle w:val="Hyperlink"/>
          </w:rPr>
          <w:t>Communicating and raising EU visibility: Guidance for external actions</w:t>
        </w:r>
      </w:hyperlink>
      <w:r>
        <w:rPr>
          <w:color w:val="222222"/>
        </w:rPr>
        <w:t>.</w:t>
      </w:r>
    </w:p>
    <w:p w14:paraId="48D31965" w14:textId="259A2254" w:rsidR="001C5E98" w:rsidRDefault="00CD7C22" w:rsidP="00CD7C22">
      <w:pPr>
        <w:spacing w:line="360" w:lineRule="auto"/>
        <w:rPr>
          <w:color w:val="222222"/>
        </w:rPr>
      </w:pPr>
      <w:r w:rsidRPr="00C35C8F">
        <w:t xml:space="preserve">The contractor </w:t>
      </w:r>
      <w:r>
        <w:t>further</w:t>
      </w:r>
      <w:r w:rsidRPr="00C35C8F">
        <w:t xml:space="preserve"> undertakes to </w:t>
      </w:r>
      <w:r>
        <w:t>correct</w:t>
      </w:r>
      <w:r w:rsidRPr="00C35C8F">
        <w:t xml:space="preserve"> any identifiable </w:t>
      </w:r>
      <w:r>
        <w:t>deficits</w:t>
      </w:r>
      <w:r w:rsidRPr="00C35C8F">
        <w:t xml:space="preserve"> in the implementation of publicity, </w:t>
      </w:r>
      <w:r>
        <w:t>communications</w:t>
      </w:r>
      <w:r w:rsidRPr="00C35C8F">
        <w:t xml:space="preserve"> and/or visibility measures </w:t>
      </w:r>
      <w:r>
        <w:rPr>
          <w:rStyle w:val="Hervorhebung3"/>
        </w:rPr>
        <w:t>please add if so agreed</w:t>
      </w:r>
      <w:r>
        <w:rPr>
          <w:color w:val="222222"/>
        </w:rPr>
        <w:t xml:space="preserve"> </w:t>
      </w:r>
      <w:r w:rsidRPr="00C35C8F">
        <w:t xml:space="preserve">and to </w:t>
      </w:r>
      <w:r>
        <w:t xml:space="preserve">comply with the Communication and Visibility Plan and/or the Strategic </w:t>
      </w:r>
      <w:r w:rsidRPr="00C35C8F">
        <w:t xml:space="preserve">Communication </w:t>
      </w:r>
      <w:r>
        <w:t xml:space="preserve">Plan under </w:t>
      </w:r>
      <w:r w:rsidRPr="00C35C8F">
        <w:t xml:space="preserve">the EU </w:t>
      </w:r>
      <w:r>
        <w:t>Cofinancing Agreement.</w:t>
      </w:r>
    </w:p>
    <w:p w14:paraId="0F6F8AC7" w14:textId="77777777" w:rsidR="005D2D96" w:rsidRPr="005D2D96" w:rsidRDefault="005D2D96" w:rsidP="005D2D96">
      <w:pPr>
        <w:spacing w:line="360" w:lineRule="auto"/>
        <w:rPr>
          <w:color w:val="222222"/>
        </w:rPr>
      </w:pPr>
    </w:p>
    <w:p w14:paraId="452BA6CB" w14:textId="77777777" w:rsidR="006E271F" w:rsidRPr="0086417A" w:rsidRDefault="006E271F" w:rsidP="00FE18FB">
      <w:pPr>
        <w:spacing w:line="360" w:lineRule="auto"/>
        <w:rPr>
          <w:color w:val="222222"/>
        </w:rPr>
      </w:pPr>
      <w:r>
        <w:rPr>
          <w:color w:val="222222"/>
        </w:rPr>
        <w:t>Attachments</w:t>
      </w:r>
    </w:p>
    <w:p w14:paraId="36AAA3EC" w14:textId="6559A1CB" w:rsidR="006E271F" w:rsidRPr="0086417A" w:rsidRDefault="006E271F" w:rsidP="00FE18FB">
      <w:pPr>
        <w:spacing w:line="360" w:lineRule="auto"/>
        <w:rPr>
          <w:color w:val="222222"/>
        </w:rPr>
      </w:pPr>
      <w:r>
        <w:rPr>
          <w:color w:val="222222"/>
        </w:rPr>
        <w:t>Communication and Visibility Plan and/or Strategic Communication Plan (</w:t>
      </w:r>
      <w:r>
        <w:rPr>
          <w:rStyle w:val="Hervorhebung3"/>
        </w:rPr>
        <w:t>if</w:t>
      </w:r>
      <w:r w:rsidRPr="00C35C8F">
        <w:rPr>
          <w:rStyle w:val="Hervorhebung3"/>
        </w:rPr>
        <w:t xml:space="preserve"> relevant</w:t>
      </w:r>
      <w:r>
        <w:rPr>
          <w:color w:val="222222"/>
        </w:rPr>
        <w:t>)</w:t>
      </w:r>
    </w:p>
    <w:sectPr w:rsidR="006E271F" w:rsidRPr="0086417A" w:rsidSect="00112883">
      <w:headerReference w:type="default" r:id="rId13"/>
      <w:footerReference w:type="default" r:id="rId14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578C2" w14:textId="77777777" w:rsidR="00951B81" w:rsidRDefault="00951B81" w:rsidP="00A637D0">
      <w:r>
        <w:separator/>
      </w:r>
    </w:p>
  </w:endnote>
  <w:endnote w:type="continuationSeparator" w:id="0">
    <w:p w14:paraId="121670BF" w14:textId="77777777" w:rsidR="00951B81" w:rsidRDefault="00951B81" w:rsidP="00A637D0">
      <w:r>
        <w:continuationSeparator/>
      </w:r>
    </w:p>
  </w:endnote>
  <w:endnote w:type="continuationNotice" w:id="1">
    <w:p w14:paraId="728A88D9" w14:textId="77777777" w:rsidR="00951B81" w:rsidRDefault="00951B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5D2D96" w14:paraId="16F57E9B" w14:textId="77777777" w:rsidTr="00C35C8F">
      <w:tc>
        <w:tcPr>
          <w:tcW w:w="1329" w:type="pct"/>
        </w:tcPr>
        <w:p w14:paraId="3DA0FECA" w14:textId="0F217B6D" w:rsidR="005D2D96" w:rsidRDefault="0015235A" w:rsidP="005D2D96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>03</w:t>
          </w:r>
          <w:r w:rsidR="009950FF">
            <w:rPr>
              <w:sz w:val="18"/>
              <w:szCs w:val="18"/>
            </w:rPr>
            <w:t>/202</w:t>
          </w:r>
          <w:r>
            <w:rPr>
              <w:sz w:val="18"/>
              <w:szCs w:val="18"/>
            </w:rPr>
            <w:t>5</w:t>
          </w:r>
        </w:p>
      </w:tc>
      <w:tc>
        <w:tcPr>
          <w:tcW w:w="2266" w:type="pct"/>
        </w:tcPr>
        <w:p w14:paraId="645B515D" w14:textId="77777777" w:rsidR="005D2D96" w:rsidRDefault="005D2D96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sz w:val="18"/>
              <w:szCs w:val="18"/>
            </w:rPr>
          </w:pPr>
        </w:p>
      </w:tc>
      <w:tc>
        <w:tcPr>
          <w:tcW w:w="1405" w:type="pct"/>
        </w:tcPr>
        <w:p w14:paraId="1E4D4FA7" w14:textId="7C954973" w:rsidR="005D2D96" w:rsidRDefault="005D2D96" w:rsidP="00112883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D528C1">
            <w:rPr>
              <w:rStyle w:val="PageNumber"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6306B7FA" w14:textId="77777777" w:rsidR="005D2D96" w:rsidRPr="00165E31" w:rsidRDefault="005D2D96" w:rsidP="00165E31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1A4F5" w14:textId="77777777" w:rsidR="00951B81" w:rsidRDefault="00951B81" w:rsidP="00A637D0">
      <w:r>
        <w:separator/>
      </w:r>
    </w:p>
  </w:footnote>
  <w:footnote w:type="continuationSeparator" w:id="0">
    <w:p w14:paraId="3A45349F" w14:textId="77777777" w:rsidR="00951B81" w:rsidRDefault="00951B81" w:rsidP="00A637D0">
      <w:r>
        <w:continuationSeparator/>
      </w:r>
    </w:p>
  </w:footnote>
  <w:footnote w:type="continuationNotice" w:id="1">
    <w:p w14:paraId="0D6E5A8A" w14:textId="77777777" w:rsidR="00951B81" w:rsidRDefault="00951B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6344"/>
      <w:gridCol w:w="2726"/>
    </w:tblGrid>
    <w:tr w:rsidR="005D2D96" w14:paraId="67B42956" w14:textId="77777777" w:rsidTr="00C35C8F">
      <w:tc>
        <w:tcPr>
          <w:tcW w:w="3497" w:type="pct"/>
        </w:tcPr>
        <w:p w14:paraId="6C2FA846" w14:textId="77777777" w:rsidR="005D2D96" w:rsidRPr="00C35C8F" w:rsidRDefault="005D2D96" w:rsidP="00112883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</w:rPr>
          </w:pPr>
        </w:p>
      </w:tc>
      <w:tc>
        <w:tcPr>
          <w:tcW w:w="1503" w:type="pct"/>
        </w:tcPr>
        <w:p w14:paraId="7B5785C7" w14:textId="52E6923D" w:rsidR="005D2D96" w:rsidRPr="000C7B81" w:rsidRDefault="005D2D96" w:rsidP="00112883">
          <w:pPr>
            <w:pStyle w:val="Header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  <w:r>
            <w:rPr>
              <w:noProof/>
            </w:rPr>
            <w:drawing>
              <wp:inline distT="0" distB="0" distL="0" distR="0" wp14:anchorId="552051E1" wp14:editId="53F21175">
                <wp:extent cx="2160274" cy="900686"/>
                <wp:effectExtent l="0" t="0" r="0" b="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izlogo-unternehmen-de-rgb-400_25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0274" cy="900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5A2C6CD" w14:textId="77777777" w:rsidR="005D2D96" w:rsidRPr="00165E31" w:rsidRDefault="005D2D96" w:rsidP="00165E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A142881"/>
    <w:multiLevelType w:val="hybridMultilevel"/>
    <w:tmpl w:val="34146F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D2BC9"/>
    <w:multiLevelType w:val="hybridMultilevel"/>
    <w:tmpl w:val="F91E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824646">
    <w:abstractNumId w:val="9"/>
  </w:num>
  <w:num w:numId="2" w16cid:durableId="973289471">
    <w:abstractNumId w:val="8"/>
  </w:num>
  <w:num w:numId="3" w16cid:durableId="2024622450">
    <w:abstractNumId w:val="7"/>
  </w:num>
  <w:num w:numId="4" w16cid:durableId="1330912700">
    <w:abstractNumId w:val="6"/>
  </w:num>
  <w:num w:numId="5" w16cid:durableId="1656452194">
    <w:abstractNumId w:val="5"/>
  </w:num>
  <w:num w:numId="6" w16cid:durableId="730882762">
    <w:abstractNumId w:val="4"/>
  </w:num>
  <w:num w:numId="7" w16cid:durableId="1491629023">
    <w:abstractNumId w:val="3"/>
  </w:num>
  <w:num w:numId="8" w16cid:durableId="413668982">
    <w:abstractNumId w:val="2"/>
  </w:num>
  <w:num w:numId="9" w16cid:durableId="9257594">
    <w:abstractNumId w:val="1"/>
  </w:num>
  <w:num w:numId="10" w16cid:durableId="20936984">
    <w:abstractNumId w:val="0"/>
  </w:num>
  <w:num w:numId="11" w16cid:durableId="654526732">
    <w:abstractNumId w:val="10"/>
  </w:num>
  <w:num w:numId="12" w16cid:durableId="8711883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EBC"/>
    <w:rsid w:val="0001437B"/>
    <w:rsid w:val="00025C1B"/>
    <w:rsid w:val="000304BC"/>
    <w:rsid w:val="00031CB9"/>
    <w:rsid w:val="0003370E"/>
    <w:rsid w:val="000448CF"/>
    <w:rsid w:val="00052833"/>
    <w:rsid w:val="00065D72"/>
    <w:rsid w:val="0007607A"/>
    <w:rsid w:val="000879FC"/>
    <w:rsid w:val="00092757"/>
    <w:rsid w:val="000A107E"/>
    <w:rsid w:val="000A1A12"/>
    <w:rsid w:val="000A5C66"/>
    <w:rsid w:val="000C0841"/>
    <w:rsid w:val="000C7B81"/>
    <w:rsid w:val="000F1C7E"/>
    <w:rsid w:val="000F6816"/>
    <w:rsid w:val="00101C88"/>
    <w:rsid w:val="00101FDB"/>
    <w:rsid w:val="00112883"/>
    <w:rsid w:val="001130BA"/>
    <w:rsid w:val="0012326D"/>
    <w:rsid w:val="00136A17"/>
    <w:rsid w:val="0015173D"/>
    <w:rsid w:val="0015235A"/>
    <w:rsid w:val="00157C33"/>
    <w:rsid w:val="00165E31"/>
    <w:rsid w:val="00181439"/>
    <w:rsid w:val="00190868"/>
    <w:rsid w:val="001975EA"/>
    <w:rsid w:val="001C07C7"/>
    <w:rsid w:val="001C0970"/>
    <w:rsid w:val="001C56FB"/>
    <w:rsid w:val="001C5E98"/>
    <w:rsid w:val="001E37D3"/>
    <w:rsid w:val="00205815"/>
    <w:rsid w:val="00244C2B"/>
    <w:rsid w:val="00250040"/>
    <w:rsid w:val="0025117C"/>
    <w:rsid w:val="002532B6"/>
    <w:rsid w:val="00255060"/>
    <w:rsid w:val="002616A5"/>
    <w:rsid w:val="002626C3"/>
    <w:rsid w:val="002762A9"/>
    <w:rsid w:val="002A196E"/>
    <w:rsid w:val="002B02AC"/>
    <w:rsid w:val="002C318A"/>
    <w:rsid w:val="002D1773"/>
    <w:rsid w:val="002E0268"/>
    <w:rsid w:val="00315B23"/>
    <w:rsid w:val="003306FA"/>
    <w:rsid w:val="00331549"/>
    <w:rsid w:val="00333EFE"/>
    <w:rsid w:val="003367DA"/>
    <w:rsid w:val="00364AFB"/>
    <w:rsid w:val="003707D5"/>
    <w:rsid w:val="003B5E58"/>
    <w:rsid w:val="003F6EC9"/>
    <w:rsid w:val="003F7349"/>
    <w:rsid w:val="004435ED"/>
    <w:rsid w:val="004470E9"/>
    <w:rsid w:val="00463EC1"/>
    <w:rsid w:val="004654B2"/>
    <w:rsid w:val="004656B4"/>
    <w:rsid w:val="00466305"/>
    <w:rsid w:val="004666E2"/>
    <w:rsid w:val="0049307C"/>
    <w:rsid w:val="004968F6"/>
    <w:rsid w:val="004E11DA"/>
    <w:rsid w:val="004F472D"/>
    <w:rsid w:val="004F58BC"/>
    <w:rsid w:val="004F6772"/>
    <w:rsid w:val="004F68D7"/>
    <w:rsid w:val="00502A5F"/>
    <w:rsid w:val="0051697E"/>
    <w:rsid w:val="0052267F"/>
    <w:rsid w:val="005373B1"/>
    <w:rsid w:val="00555581"/>
    <w:rsid w:val="005645B3"/>
    <w:rsid w:val="0057398C"/>
    <w:rsid w:val="00581129"/>
    <w:rsid w:val="005B57C9"/>
    <w:rsid w:val="005C7F61"/>
    <w:rsid w:val="005D2D96"/>
    <w:rsid w:val="005D500F"/>
    <w:rsid w:val="005E133A"/>
    <w:rsid w:val="006022F4"/>
    <w:rsid w:val="006033EE"/>
    <w:rsid w:val="00606A8E"/>
    <w:rsid w:val="0061267F"/>
    <w:rsid w:val="006133F2"/>
    <w:rsid w:val="00613B92"/>
    <w:rsid w:val="00625191"/>
    <w:rsid w:val="00656DD7"/>
    <w:rsid w:val="006D01CE"/>
    <w:rsid w:val="006E271F"/>
    <w:rsid w:val="006E2E2F"/>
    <w:rsid w:val="006F643B"/>
    <w:rsid w:val="0070201E"/>
    <w:rsid w:val="00721E27"/>
    <w:rsid w:val="00722877"/>
    <w:rsid w:val="0074255F"/>
    <w:rsid w:val="00747B32"/>
    <w:rsid w:val="00752AC5"/>
    <w:rsid w:val="00754401"/>
    <w:rsid w:val="00773938"/>
    <w:rsid w:val="007816CE"/>
    <w:rsid w:val="007B14B5"/>
    <w:rsid w:val="007B6BE1"/>
    <w:rsid w:val="007D626A"/>
    <w:rsid w:val="00806611"/>
    <w:rsid w:val="00824179"/>
    <w:rsid w:val="00833C50"/>
    <w:rsid w:val="008435FC"/>
    <w:rsid w:val="00847F0B"/>
    <w:rsid w:val="00856CFA"/>
    <w:rsid w:val="0086417A"/>
    <w:rsid w:val="00880805"/>
    <w:rsid w:val="00880B21"/>
    <w:rsid w:val="008824C6"/>
    <w:rsid w:val="008860DC"/>
    <w:rsid w:val="008C00BE"/>
    <w:rsid w:val="008E7118"/>
    <w:rsid w:val="0092343B"/>
    <w:rsid w:val="00932EBC"/>
    <w:rsid w:val="00951B81"/>
    <w:rsid w:val="009614AD"/>
    <w:rsid w:val="00993184"/>
    <w:rsid w:val="00994C90"/>
    <w:rsid w:val="009950FF"/>
    <w:rsid w:val="009A13D5"/>
    <w:rsid w:val="009A24FE"/>
    <w:rsid w:val="009A2A1A"/>
    <w:rsid w:val="009A7872"/>
    <w:rsid w:val="009B0BA2"/>
    <w:rsid w:val="009B4500"/>
    <w:rsid w:val="009E4A98"/>
    <w:rsid w:val="009E4E08"/>
    <w:rsid w:val="009E7E71"/>
    <w:rsid w:val="00A067FE"/>
    <w:rsid w:val="00A13972"/>
    <w:rsid w:val="00A24CD1"/>
    <w:rsid w:val="00A637D0"/>
    <w:rsid w:val="00A67383"/>
    <w:rsid w:val="00A91A73"/>
    <w:rsid w:val="00AA0BB3"/>
    <w:rsid w:val="00AB2FD0"/>
    <w:rsid w:val="00AC0E75"/>
    <w:rsid w:val="00AC518F"/>
    <w:rsid w:val="00AE0F4E"/>
    <w:rsid w:val="00AE47DA"/>
    <w:rsid w:val="00AE6941"/>
    <w:rsid w:val="00AE70BD"/>
    <w:rsid w:val="00B04A85"/>
    <w:rsid w:val="00B0734D"/>
    <w:rsid w:val="00B37D99"/>
    <w:rsid w:val="00B37E2A"/>
    <w:rsid w:val="00B41225"/>
    <w:rsid w:val="00B57F1B"/>
    <w:rsid w:val="00B71110"/>
    <w:rsid w:val="00B85BF3"/>
    <w:rsid w:val="00B86CC5"/>
    <w:rsid w:val="00B969D6"/>
    <w:rsid w:val="00BA06E5"/>
    <w:rsid w:val="00BA33BD"/>
    <w:rsid w:val="00BC0552"/>
    <w:rsid w:val="00BE09A4"/>
    <w:rsid w:val="00C1422E"/>
    <w:rsid w:val="00C177A6"/>
    <w:rsid w:val="00C33501"/>
    <w:rsid w:val="00C35C8F"/>
    <w:rsid w:val="00C445F7"/>
    <w:rsid w:val="00C45EC0"/>
    <w:rsid w:val="00C6458D"/>
    <w:rsid w:val="00C64E1D"/>
    <w:rsid w:val="00C73EB1"/>
    <w:rsid w:val="00C74146"/>
    <w:rsid w:val="00C76E1E"/>
    <w:rsid w:val="00C87979"/>
    <w:rsid w:val="00C95523"/>
    <w:rsid w:val="00CA64EE"/>
    <w:rsid w:val="00CA6781"/>
    <w:rsid w:val="00CB4A5B"/>
    <w:rsid w:val="00CC342C"/>
    <w:rsid w:val="00CC41DD"/>
    <w:rsid w:val="00CC4DB7"/>
    <w:rsid w:val="00CC4E8A"/>
    <w:rsid w:val="00CD312E"/>
    <w:rsid w:val="00CD7C22"/>
    <w:rsid w:val="00CF0E96"/>
    <w:rsid w:val="00CF2CD2"/>
    <w:rsid w:val="00D00FEE"/>
    <w:rsid w:val="00D04745"/>
    <w:rsid w:val="00D05E0E"/>
    <w:rsid w:val="00D06536"/>
    <w:rsid w:val="00D2054F"/>
    <w:rsid w:val="00D25DEF"/>
    <w:rsid w:val="00D3000F"/>
    <w:rsid w:val="00D333FE"/>
    <w:rsid w:val="00D51DCB"/>
    <w:rsid w:val="00D528C1"/>
    <w:rsid w:val="00D606C7"/>
    <w:rsid w:val="00D65DAE"/>
    <w:rsid w:val="00DB0A45"/>
    <w:rsid w:val="00DB66D5"/>
    <w:rsid w:val="00DD592E"/>
    <w:rsid w:val="00DE6D89"/>
    <w:rsid w:val="00DF18DF"/>
    <w:rsid w:val="00DF50C6"/>
    <w:rsid w:val="00DF6E8E"/>
    <w:rsid w:val="00E00A39"/>
    <w:rsid w:val="00E04950"/>
    <w:rsid w:val="00E04FF9"/>
    <w:rsid w:val="00E07EC0"/>
    <w:rsid w:val="00E2495D"/>
    <w:rsid w:val="00E46413"/>
    <w:rsid w:val="00E4649A"/>
    <w:rsid w:val="00E534D5"/>
    <w:rsid w:val="00E62B79"/>
    <w:rsid w:val="00E674AA"/>
    <w:rsid w:val="00E81202"/>
    <w:rsid w:val="00E83ADD"/>
    <w:rsid w:val="00E9115F"/>
    <w:rsid w:val="00E939BE"/>
    <w:rsid w:val="00EB394E"/>
    <w:rsid w:val="00ED67E0"/>
    <w:rsid w:val="00F03186"/>
    <w:rsid w:val="00F037BD"/>
    <w:rsid w:val="00F27552"/>
    <w:rsid w:val="00F30BD4"/>
    <w:rsid w:val="00F8350B"/>
    <w:rsid w:val="00FA0578"/>
    <w:rsid w:val="00FD0CDF"/>
    <w:rsid w:val="00FE18FB"/>
    <w:rsid w:val="00FE19F4"/>
    <w:rsid w:val="00FF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84EF86"/>
  <w15:docId w15:val="{90C7ED4F-0065-4C41-8A55-BCC0E5200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B81"/>
    <w:pPr>
      <w:spacing w:after="0" w:line="240" w:lineRule="auto"/>
    </w:pPr>
    <w:rPr>
      <w:rFonts w:ascii="Arial" w:hAnsi="Arial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C7B81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637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A637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4"/>
    <w:rsid w:val="00DE6D89"/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semiHidden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</w:style>
  <w:style w:type="table" w:styleId="TableGrid">
    <w:name w:val="Table Grid"/>
    <w:basedOn w:val="TableNormal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character" w:styleId="Hyperlink">
    <w:name w:val="Hyperlink"/>
    <w:basedOn w:val="DefaultParagraphFont"/>
    <w:rsid w:val="000C7B81"/>
    <w:rPr>
      <w:color w:val="0000FF"/>
      <w:u w:val="single"/>
    </w:rPr>
  </w:style>
  <w:style w:type="table" w:customStyle="1" w:styleId="TableNormal1">
    <w:name w:val="Table Normal1"/>
    <w:uiPriority w:val="2"/>
    <w:semiHidden/>
    <w:unhideWhenUsed/>
    <w:qFormat/>
    <w:rsid w:val="002D1773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D1773"/>
    <w:pPr>
      <w:widowControl w:val="0"/>
    </w:pPr>
    <w:rPr>
      <w:rFonts w:eastAsia="Arial" w:cs="Arial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2D1773"/>
    <w:rPr>
      <w:rFonts w:ascii="Arial" w:eastAsia="Arial" w:hAnsi="Arial" w:cs="Arial"/>
      <w:b/>
      <w:bCs/>
      <w:sz w:val="28"/>
      <w:szCs w:val="28"/>
      <w:lang w:val="en-GB"/>
    </w:rPr>
  </w:style>
  <w:style w:type="paragraph" w:customStyle="1" w:styleId="TableParagraph">
    <w:name w:val="Table Paragraph"/>
    <w:basedOn w:val="Normal"/>
    <w:uiPriority w:val="1"/>
    <w:qFormat/>
    <w:rsid w:val="002D1773"/>
    <w:pPr>
      <w:widowControl w:val="0"/>
      <w:spacing w:before="141"/>
      <w:ind w:left="200"/>
    </w:pPr>
    <w:rPr>
      <w:rFonts w:eastAsia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0C7B8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C7B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7B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4E1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E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E1D"/>
    <w:rPr>
      <w:rFonts w:ascii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7B81"/>
    <w:pPr>
      <w:ind w:left="720"/>
      <w:contextualSpacing/>
    </w:pPr>
    <w:rPr>
      <w:rFonts w:cs="Arial"/>
    </w:rPr>
  </w:style>
  <w:style w:type="paragraph" w:styleId="Revision">
    <w:name w:val="Revision"/>
    <w:hidden/>
    <w:uiPriority w:val="99"/>
    <w:semiHidden/>
    <w:rsid w:val="00157C33"/>
    <w:pPr>
      <w:spacing w:after="0" w:line="240" w:lineRule="auto"/>
    </w:pPr>
    <w:rPr>
      <w:rFonts w:ascii="Arial" w:hAnsi="Arial"/>
    </w:rPr>
  </w:style>
  <w:style w:type="character" w:customStyle="1" w:styleId="Hervorhebung3">
    <w:name w:val="Hervorhebung 3"/>
    <w:basedOn w:val="DefaultParagraphFont"/>
    <w:uiPriority w:val="1"/>
    <w:qFormat/>
    <w:rsid w:val="00CD7C22"/>
    <w:rPr>
      <w:i/>
      <w:iCs/>
      <w:color w:val="E36C0A"/>
      <w:bdr w:val="none" w:sz="0" w:space="0" w:color="auto"/>
      <w:shd w:val="clear" w:color="auto" w:fil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B57F1B"/>
    <w:rPr>
      <w:color w:val="605E5C"/>
      <w:shd w:val="clear" w:color="auto" w:fill="E1DFDD"/>
    </w:rPr>
  </w:style>
  <w:style w:type="table" w:customStyle="1" w:styleId="TableNormal10">
    <w:name w:val="Table Normal1"/>
    <w:uiPriority w:val="2"/>
    <w:semiHidden/>
    <w:unhideWhenUsed/>
    <w:qFormat/>
    <w:rsid w:val="000C7B81"/>
    <w:pPr>
      <w:widowControl w:val="0"/>
      <w:spacing w:after="0" w:line="240" w:lineRule="auto"/>
    </w:pPr>
    <w:rPr>
      <w:rFonts w:ascii="Calibri" w:eastAsia="Calibri" w:hAnsi="Calibri" w:cs="Arial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rwhnung1">
    <w:name w:val="Erwähnung1"/>
    <w:uiPriority w:val="99"/>
    <w:semiHidden/>
    <w:unhideWhenUsed/>
    <w:rsid w:val="000C7B8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ktheeu.org/de/request/6022/response/19737/attach/7/Annex%20II%20c5c%20pagoda%20gc%20en.pdf.pdf?cookie_passthrough=1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ational-partnerships.ec.europa.eu/document/download/e6c7b8f5-e3e6-4458-ae7e-9cc313a338b8_en?filename=communicating-and-raising-eu-visibility-guidance-for-external-actions-july-2022_en.pdf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ational-partnerships.ec.europa.eu/system/files/2023-07/contribution-agreement-annex-ii_en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c.europa.eu/transparency/documents-register/api/files/C(2016)5104_6/de00000000363777?rendition=false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international-partnerships.ec.europa.eu/system/files/2023-07/contribution-agreement-annex-ii_en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C3723998C9914FAC2DD18B03A12458" ma:contentTypeVersion="18" ma:contentTypeDescription="Ein neues Dokument erstellen." ma:contentTypeScope="" ma:versionID="764015920c3fbf98d4d05b83bdbdc2bd">
  <xsd:schema xmlns:xsd="http://www.w3.org/2001/XMLSchema" xmlns:xs="http://www.w3.org/2001/XMLSchema" xmlns:p="http://schemas.microsoft.com/office/2006/metadata/properties" xmlns:ns2="66370d33-e821-46d9-a4f1-a17cee89e111" xmlns:ns3="fc96d5d5-fc4b-41db-b3e0-ec86867690c2" targetNamespace="http://schemas.microsoft.com/office/2006/metadata/properties" ma:root="true" ma:fieldsID="18af996f8894f0d37379e64e61ec0406" ns2:_="" ns3:_="">
    <xsd:import namespace="66370d33-e821-46d9-a4f1-a17cee89e111"/>
    <xsd:import namespace="fc96d5d5-fc4b-41db-b3e0-ec86867690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70d33-e821-46d9-a4f1-a17cee89e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6d5d5-fc4b-41db-b3e0-ec86867690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96d5d5-fc4b-41db-b3e0-ec86867690c2">
      <UserInfo>
        <DisplayName/>
        <AccountId xsi:nil="true"/>
        <AccountType/>
      </UserInfo>
    </SharedWithUsers>
    <lcf76f155ced4ddcb4097134ff3c332f xmlns="66370d33-e821-46d9-a4f1-a17cee89e111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E778937A-D780-4CFE-9863-F7920EB2E5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3745E6-7FF2-4F4D-B63E-F60BFEDB15DD}"/>
</file>

<file path=customXml/itemProps3.xml><?xml version="1.0" encoding="utf-8"?>
<ds:datastoreItem xmlns:ds="http://schemas.openxmlformats.org/officeDocument/2006/customXml" ds:itemID="{B661EF64-95B9-465B-BBFD-39B55104AA1A}"/>
</file>

<file path=customXml/itemProps4.xml><?xml version="1.0" encoding="utf-8"?>
<ds:datastoreItem xmlns:ds="http://schemas.openxmlformats.org/officeDocument/2006/customXml" ds:itemID="{42648F23-347A-4BFF-9FC7-174361BA1E95}"/>
</file>

<file path=customXml/itemProps5.xml><?xml version="1.0" encoding="utf-8"?>
<ds:datastoreItem xmlns:ds="http://schemas.openxmlformats.org/officeDocument/2006/customXml" ds:itemID="{8F5E1D62-73BC-4825-9497-30EB65A8C4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anlage-eu-kofinanzierungsvertrag-lokal-en, Stand 12/2024</dc:title>
  <dc:creator>Lukas Kunz</dc:creator>
  <cp:lastModifiedBy>Nguyen Hong, Nhung GIZ VN</cp:lastModifiedBy>
  <cp:revision>6</cp:revision>
  <cp:lastPrinted>2017-05-22T06:51:00Z</cp:lastPrinted>
  <dcterms:created xsi:type="dcterms:W3CDTF">2024-11-30T20:49:00Z</dcterms:created>
  <dcterms:modified xsi:type="dcterms:W3CDTF">2025-03-04T04:27:00Z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0x010100A9C3723998C9914FAC2DD18B03A12458</vt:lpwstr>
  </property>
  <property fmtid="{D5CDD505-2E9C-101B-9397-08002B2CF9AE}" pid="3" name="Order">
    <vt:r8>2688400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dlc_DocIdItemGuid">
    <vt:lpwstr>f36deafe-c62b-477e-bc55-dba57993684c</vt:lpwstr>
  </property>
</Properties>
</file>